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ascii="Times New Roman" w:hAnsi="Times New Roman" w:eastAsia="黑体" w:cs="Times New Roman"/>
          <w:szCs w:val="32"/>
        </w:rPr>
      </w:pPr>
      <w:r>
        <w:rPr>
          <w:rFonts w:ascii="Times New Roman" w:hAnsi="Times New Roman" w:eastAsia="黑体" w:cs="Times New Roman"/>
          <w:szCs w:val="32"/>
        </w:rPr>
        <w:t>附件2</w:t>
      </w:r>
    </w:p>
    <w:p>
      <w:pPr>
        <w:jc w:val="center"/>
        <w:outlineLvl w:val="1"/>
        <w:rPr>
          <w:rFonts w:ascii="Times New Roman" w:hAnsi="Times New Roman" w:eastAsia="方正小标宋简体" w:cs="Times New Roman"/>
          <w:b/>
          <w:sz w:val="44"/>
          <w:szCs w:val="44"/>
        </w:rPr>
      </w:pPr>
      <w:bookmarkStart w:id="0" w:name="_GoBack"/>
      <w:r>
        <w:rPr>
          <w:rFonts w:ascii="Times New Roman" w:hAnsi="Times New Roman" w:eastAsia="方正小标宋简体" w:cs="Times New Roman"/>
          <w:b/>
          <w:sz w:val="44"/>
          <w:szCs w:val="44"/>
        </w:rPr>
        <w:t>绿色</w:t>
      </w:r>
      <w:r>
        <w:rPr>
          <w:rFonts w:ascii="Times New Roman" w:hAnsi="Times New Roman" w:eastAsia="方正小标宋简体" w:cs="Times New Roman"/>
          <w:b/>
          <w:sz w:val="44"/>
          <w:szCs w:val="44"/>
          <w:lang w:val="en"/>
        </w:rPr>
        <w:t>工业</w:t>
      </w:r>
      <w:r>
        <w:rPr>
          <w:rFonts w:ascii="Times New Roman" w:hAnsi="Times New Roman" w:eastAsia="方正小标宋简体" w:cs="Times New Roman"/>
          <w:b/>
          <w:sz w:val="44"/>
          <w:szCs w:val="44"/>
        </w:rPr>
        <w:t>园区评价要求</w:t>
      </w:r>
    </w:p>
    <w:bookmarkEnd w:id="0"/>
    <w:p>
      <w:pPr>
        <w:ind w:firstLine="619" w:firstLineChars="200"/>
        <w:rPr>
          <w:rFonts w:ascii="Times New Roman" w:hAnsi="Times New Roman" w:eastAsia="仿宋_GB2312" w:cs="Times New Roman"/>
          <w:b/>
          <w:szCs w:val="32"/>
        </w:rPr>
      </w:pP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一、总则</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（一）基本要求</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1.国家和地方绿色、循环和低碳相关法律法规、政策和标准应得到有效的贯彻执行。涉及化工园区的应通过省级人民政府或其授权机构认定。</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2.近三年，未发生重大污染事故或重大生态破坏事件，完成国家或地方政府下达的节能减排指标，碳排放强度持续下降。</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3.环境质量达到国家或地方规定的环境功能区环境质量标准，园区内企业污染物达标排放，各类重点污染物排放总量均不超过国家或地方的总量控制要求。</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4.园区内属于《清洁生产促进法》中规定的应当实施强制性清洁生产审核的企业（评价期当年及之前公布的重点企业清洁生产审核名单中的企业）应100%实施清洁生产审核。</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5.园区企业不应使用国家列入淘汰目录的落后生产技术、工艺和设备，不应生产国家列入淘汰目录的产品。</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6.园区建有履行绿色发展工作职责的专门机构、配备2名以上专职工作人员。</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7.鼓励园区建立并运行环境管理体系和能源管理体系，建立园区能源监测管理平台。</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szCs w:val="32"/>
        </w:rPr>
        <w:t>8.鼓励园区建设并运行风能、太阳能等可再生能源应用设施。</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（二）评价指标构成</w:t>
      </w:r>
    </w:p>
    <w:p>
      <w:pPr>
        <w:spacing w:line="600" w:lineRule="exact"/>
        <w:ind w:firstLine="630"/>
        <w:rPr>
          <w:rFonts w:ascii="Times New Roman" w:hAnsi="Times New Roman" w:eastAsia="仿宋_GB2312" w:cs="Times New Roman"/>
          <w:szCs w:val="32"/>
        </w:rPr>
      </w:pPr>
      <w:r>
        <w:rPr>
          <w:rFonts w:ascii="Times New Roman" w:hAnsi="Times New Roman" w:eastAsia="仿宋_GB2312" w:cs="Times New Roman"/>
          <w:szCs w:val="32"/>
        </w:rPr>
        <w:t>绿色工业园区评价指标体系包括能源利用绿色化指标、资源利用绿色化指标、基础设施绿色化指标、产业绿色化指标、生态环境绿色化指标、运行管理绿色化指标6个方面。具体如附表2.1所示。</w:t>
      </w:r>
    </w:p>
    <w:p>
      <w:pPr>
        <w:ind w:firstLine="630"/>
        <w:jc w:val="center"/>
        <w:rPr>
          <w:rFonts w:ascii="Times New Roman" w:hAnsi="Times New Roman" w:eastAsia="黑体" w:cs="Times New Roman"/>
          <w:sz w:val="28"/>
          <w:szCs w:val="28"/>
        </w:rPr>
      </w:pPr>
      <w:r>
        <w:rPr>
          <w:rFonts w:ascii="Times New Roman" w:hAnsi="Times New Roman" w:eastAsia="黑体" w:cs="Times New Roman"/>
          <w:sz w:val="28"/>
          <w:szCs w:val="28"/>
        </w:rPr>
        <w:t>附表2.1 绿色工业园区评价指标体系</w:t>
      </w:r>
    </w:p>
    <w:tbl>
      <w:tblPr>
        <w:tblStyle w:val="4"/>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9" w:type="dxa"/>
            <w:noWrap w:val="0"/>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一级指标</w:t>
            </w:r>
          </w:p>
        </w:tc>
        <w:tc>
          <w:tcPr>
            <w:tcW w:w="869" w:type="dxa"/>
            <w:noWrap w:val="0"/>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序号</w:t>
            </w:r>
          </w:p>
        </w:tc>
        <w:tc>
          <w:tcPr>
            <w:tcW w:w="3680" w:type="dxa"/>
            <w:noWrap w:val="0"/>
            <w:vAlign w:val="center"/>
          </w:tcPr>
          <w:p>
            <w:pPr>
              <w:adjustRightInd w:val="0"/>
              <w:snapToGrid w:val="0"/>
              <w:ind w:firstLine="562"/>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二级指标</w:t>
            </w:r>
          </w:p>
        </w:tc>
        <w:tc>
          <w:tcPr>
            <w:tcW w:w="1140" w:type="dxa"/>
            <w:noWrap w:val="0"/>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单位</w:t>
            </w:r>
          </w:p>
        </w:tc>
        <w:tc>
          <w:tcPr>
            <w:tcW w:w="1276" w:type="dxa"/>
            <w:noWrap w:val="0"/>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引领值</w:t>
            </w:r>
          </w:p>
        </w:tc>
        <w:tc>
          <w:tcPr>
            <w:tcW w:w="1363" w:type="dxa"/>
            <w:noWrap w:val="0"/>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459"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能源利用绿色化指标（EG）</w:t>
            </w: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能源产出率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万元/tce</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可再生能源使用比例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3</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清洁能源使用率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75</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9"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资源利用绿色化指标（RG）</w:t>
            </w: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4</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水资源产出率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元/m</w:t>
            </w:r>
            <w:r>
              <w:rPr>
                <w:rFonts w:ascii="Times New Roman" w:hAnsi="Times New Roman" w:eastAsia="仿宋_GB2312" w:cs="Times New Roman"/>
                <w:kern w:val="0"/>
                <w:sz w:val="28"/>
                <w:szCs w:val="28"/>
                <w:vertAlign w:val="superscript"/>
              </w:rPr>
              <w:t>3</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1500</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5</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土地资源产出率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亿元/km</w:t>
            </w:r>
            <w:r>
              <w:rPr>
                <w:rFonts w:ascii="Times New Roman" w:hAnsi="Times New Roman" w:eastAsia="仿宋_GB2312" w:cs="Times New Roman"/>
                <w:kern w:val="0"/>
                <w:sz w:val="28"/>
                <w:szCs w:val="28"/>
                <w:vertAlign w:val="superscript"/>
              </w:rPr>
              <w:t>2</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6</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工业固体废弃物综合利用率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95</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7</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工业用水重复利用率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8</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中水回用率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9</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余热资源回收利用率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10</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废气资源回收利用率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11</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再生资源回收利用率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基础设施绿色指标</w:t>
            </w:r>
          </w:p>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（IG）</w:t>
            </w: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12</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污水集中处理设施</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具备</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13</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新建工业建筑中绿色建筑的比例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14</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新建公共建筑中绿色建筑的比例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15</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500米公交站点覆盖率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16</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节能与新能源公交车比例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产业绿色指标</w:t>
            </w:r>
          </w:p>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（CG）</w:t>
            </w: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17</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高新技术产业产值占园区工业总产值比例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18</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绿色产业增加值占园区工业增加值比例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19</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人均工业增加值</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万元/人</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20</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现代服务业比例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生态环境绿色指标</w:t>
            </w:r>
          </w:p>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（HG）</w:t>
            </w: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21</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工业固体废弃物（含危废）处置利用率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22</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万元工业增加值碳排放量消减率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23</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单位工业增加值废水排放量</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t/万元</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24</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主要污染物弹性系数</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0.3</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25</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园区空气质量优良率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26</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绿化覆盖率</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27</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道路遮荫比例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noWrap w:val="0"/>
            <w:vAlign w:val="center"/>
          </w:tcPr>
          <w:p>
            <w:pPr>
              <w:adjustRightInd w:val="0"/>
              <w:snapToGrid w:val="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28</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露天停车场遮荫比例</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运行管理绿色指标</w:t>
            </w:r>
          </w:p>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（MG）</w:t>
            </w: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29</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绿色工业园区标准体系完善程度</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完善</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30</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编制绿色工业园区发展规划</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是</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ascii="Times New Roman" w:hAnsi="Times New Roman" w:eastAsia="仿宋_GB2312" w:cs="Times New Roman"/>
                <w:kern w:val="0"/>
                <w:sz w:val="28"/>
                <w:szCs w:val="28"/>
              </w:rPr>
            </w:pPr>
          </w:p>
        </w:tc>
        <w:tc>
          <w:tcPr>
            <w:tcW w:w="869" w:type="dxa"/>
            <w:noWrap w:val="0"/>
            <w:vAlign w:val="center"/>
          </w:tcPr>
          <w:p>
            <w:pPr>
              <w:pStyle w:val="5"/>
              <w:adjustRightInd w:val="0"/>
              <w:snapToGrid w:val="0"/>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31</w:t>
            </w:r>
          </w:p>
        </w:tc>
        <w:tc>
          <w:tcPr>
            <w:tcW w:w="368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绿色工业园区信息平台完善程度</w:t>
            </w:r>
          </w:p>
        </w:tc>
        <w:tc>
          <w:tcPr>
            <w:tcW w:w="1140"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完善</w:t>
            </w:r>
          </w:p>
        </w:tc>
        <w:tc>
          <w:tcPr>
            <w:tcW w:w="1363" w:type="dxa"/>
            <w:noWrap w:val="0"/>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bl>
    <w:p>
      <w:pPr>
        <w:ind w:firstLine="630"/>
        <w:rPr>
          <w:rFonts w:ascii="Times New Roman" w:hAnsi="Times New Roman" w:eastAsia="楷体" w:cs="Times New Roman"/>
          <w:szCs w:val="32"/>
        </w:rPr>
      </w:pPr>
      <w:r>
        <w:rPr>
          <w:rFonts w:ascii="Times New Roman" w:hAnsi="Times New Roman" w:eastAsia="楷体" w:cs="Times New Roman"/>
          <w:szCs w:val="32"/>
        </w:rPr>
        <w:t>（三）评价方法</w:t>
      </w:r>
    </w:p>
    <w:p>
      <w:pPr>
        <w:ind w:firstLine="630"/>
        <w:rPr>
          <w:rFonts w:ascii="Times New Roman" w:hAnsi="Times New Roman" w:eastAsia="仿宋_GB2312" w:cs="Times New Roman"/>
          <w:szCs w:val="32"/>
        </w:rPr>
      </w:pPr>
      <w:r>
        <w:rPr>
          <w:rFonts w:ascii="Times New Roman" w:hAnsi="Times New Roman" w:eastAsia="仿宋_GB2312" w:cs="Times New Roman"/>
          <w:szCs w:val="32"/>
        </w:rPr>
        <w:t>工业园区绿色指数的计算方法如下面公式所示。</w:t>
      </w:r>
    </w:p>
    <w:p>
      <w:pPr>
        <w:ind w:firstLine="630"/>
        <w:rPr>
          <w:rFonts w:ascii="Times New Roman" w:hAnsi="Times New Roman" w:eastAsia="仿宋_GB2312" w:cs="Times New Roman"/>
          <w:szCs w:val="32"/>
        </w:rPr>
      </w:pPr>
      <w:r>
        <w:rPr>
          <w:rFonts w:ascii="Times New Roman" w:hAnsi="Times New Roman" w:cs="Times New Roman"/>
        </w:rPr>
        <w:drawing>
          <wp:inline distT="0" distB="0" distL="114300" distR="114300">
            <wp:extent cx="6047105" cy="76771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47105" cy="767715"/>
                    </a:xfrm>
                    <a:prstGeom prst="rect">
                      <a:avLst/>
                    </a:prstGeom>
                    <a:noFill/>
                    <a:ln>
                      <a:noFill/>
                    </a:ln>
                  </pic:spPr>
                </pic:pic>
              </a:graphicData>
            </a:graphic>
          </wp:inline>
        </w:drawing>
      </w:r>
    </w:p>
    <w:p>
      <w:pPr>
        <w:pStyle w:val="6"/>
        <w:widowControl w:val="0"/>
        <w:spacing w:line="600" w:lineRule="exact"/>
        <w:ind w:firstLine="632"/>
        <w:rPr>
          <w:rFonts w:ascii="Times New Roman" w:eastAsia="仿宋_GB2312"/>
          <w:sz w:val="32"/>
          <w:szCs w:val="32"/>
        </w:rPr>
      </w:pPr>
      <w:r>
        <w:rPr>
          <w:rFonts w:ascii="Times New Roman" w:eastAsia="仿宋_GB2312"/>
          <w:sz w:val="32"/>
          <w:szCs w:val="32"/>
        </w:rPr>
        <w:t>式中：</w:t>
      </w:r>
    </w:p>
    <w:p>
      <w:pPr>
        <w:pStyle w:val="6"/>
        <w:widowControl w:val="0"/>
        <w:spacing w:line="600" w:lineRule="exact"/>
        <w:ind w:firstLine="632"/>
        <w:rPr>
          <w:rFonts w:ascii="仿宋_GB2312" w:eastAsia="仿宋_GB2312"/>
          <w:sz w:val="32"/>
          <w:szCs w:val="32"/>
        </w:rPr>
      </w:pPr>
      <w:r>
        <w:rPr>
          <w:rFonts w:hint="eastAsia" w:ascii="仿宋_GB2312" w:eastAsia="仿宋_GB2312"/>
          <w:i/>
          <w:iCs/>
          <w:position w:val="-6"/>
          <w:sz w:val="32"/>
          <w:szCs w:val="32"/>
        </w:rPr>
        <w:t>GI</w:t>
      </w:r>
      <w:r>
        <w:rPr>
          <w:rFonts w:hint="eastAsia" w:ascii="仿宋_GB2312" w:eastAsia="仿宋_GB2312"/>
          <w:position w:val="-6"/>
          <w:sz w:val="32"/>
          <w:szCs w:val="32"/>
        </w:rPr>
        <w:t>为工业园区绿色指数；</w:t>
      </w:r>
    </w:p>
    <w:p>
      <w:pPr>
        <w:pStyle w:val="6"/>
        <w:widowControl w:val="0"/>
        <w:spacing w:line="600" w:lineRule="exact"/>
        <w:ind w:firstLine="632"/>
        <w:rPr>
          <w:rFonts w:ascii="仿宋_GB2312" w:eastAsia="仿宋_GB2312"/>
          <w:sz w:val="32"/>
          <w:szCs w:val="32"/>
        </w:rPr>
      </w:pPr>
      <w:r>
        <w:rPr>
          <w:rFonts w:hint="eastAsia" w:ascii="仿宋_GB2312" w:eastAsia="仿宋_GB2312"/>
          <w:position w:val="-12"/>
          <w:sz w:val="32"/>
          <w:szCs w:val="32"/>
        </w:rPr>
        <w:object>
          <v:shape id="_x0000_i1026" o:spt="75" type="#_x0000_t75" style="height:18.15pt;width:21.3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5" r:id="rId5">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27"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6" r:id="rId7">
            <o:LockedField>false</o:LockedField>
          </o:OLEObject>
        </w:object>
      </w:r>
      <w:r>
        <w:rPr>
          <w:rFonts w:hint="eastAsia" w:ascii="仿宋_GB2312" w:eastAsia="仿宋_GB2312"/>
          <w:sz w:val="32"/>
          <w:szCs w:val="32"/>
        </w:rPr>
        <w:t>项能源利用绿色化指标值；</w:t>
      </w:r>
      <w:r>
        <w:rPr>
          <w:rFonts w:hint="eastAsia" w:ascii="仿宋_GB2312" w:eastAsia="仿宋_GB2312"/>
          <w:position w:val="-12"/>
          <w:sz w:val="32"/>
          <w:szCs w:val="32"/>
        </w:rPr>
        <w:object>
          <v:shape id="_x0000_i1028" o:spt="75" type="#_x0000_t75" style="height:18.15pt;width:24.4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7" r:id="rId9">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29"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8" r:id="rId11">
            <o:LockedField>false</o:LockedField>
          </o:OLEObject>
        </w:object>
      </w:r>
      <w:r>
        <w:rPr>
          <w:rFonts w:hint="eastAsia" w:ascii="仿宋_GB2312" w:eastAsia="仿宋_GB2312"/>
          <w:sz w:val="32"/>
          <w:szCs w:val="32"/>
        </w:rPr>
        <w:t>项能源利用绿色指标引领值；</w:t>
      </w:r>
    </w:p>
    <w:p>
      <w:pPr>
        <w:pStyle w:val="6"/>
        <w:widowControl w:val="0"/>
        <w:spacing w:line="600" w:lineRule="exact"/>
        <w:ind w:firstLine="632"/>
        <w:rPr>
          <w:rFonts w:ascii="仿宋_GB2312" w:eastAsia="仿宋_GB2312"/>
          <w:sz w:val="32"/>
          <w:szCs w:val="32"/>
        </w:rPr>
      </w:pPr>
      <w:r>
        <w:rPr>
          <w:rFonts w:hint="eastAsia" w:ascii="仿宋_GB2312" w:eastAsia="仿宋_GB2312"/>
          <w:position w:val="-12"/>
          <w:sz w:val="32"/>
          <w:szCs w:val="32"/>
        </w:rPr>
        <w:object>
          <v:shape id="_x0000_i1030" o:spt="75" type="#_x0000_t75" style="height:18.15pt;width:21.3pt;" o:ole="t" filled="f" o:preferrelative="t" stroked="f" coordsize="21600,21600">
            <v:path/>
            <v:fill on="f" focussize="0,0"/>
            <v:stroke on="f" joinstyle="miter"/>
            <v:imagedata r:id="rId13" o:title=""/>
            <o:lock v:ext="edit" aspectratio="t"/>
            <w10:wrap type="none"/>
            <w10:anchorlock/>
          </v:shape>
          <o:OLEObject Type="Embed" ProgID="Equation.DSMT4" ShapeID="_x0000_i1030" DrawAspect="Content" ObjectID="_1468075729" r:id="rId12">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31"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31" DrawAspect="Content" ObjectID="_1468075730" r:id="rId14">
            <o:LockedField>false</o:LockedField>
          </o:OLEObject>
        </w:object>
      </w:r>
      <w:r>
        <w:rPr>
          <w:rFonts w:hint="eastAsia" w:ascii="仿宋_GB2312" w:eastAsia="仿宋_GB2312"/>
          <w:sz w:val="32"/>
          <w:szCs w:val="32"/>
        </w:rPr>
        <w:t>项资源利用绿色化指标值，</w:t>
      </w:r>
      <w:r>
        <w:rPr>
          <w:rFonts w:hint="eastAsia" w:ascii="仿宋_GB2312" w:eastAsia="仿宋_GB2312"/>
          <w:position w:val="-12"/>
          <w:sz w:val="32"/>
          <w:szCs w:val="32"/>
        </w:rPr>
        <w:object>
          <v:shape id="_x0000_i1032" o:spt="75" type="#_x0000_t75" style="height:18.15pt;width:24.4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1" r:id="rId15">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33"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33" DrawAspect="Content" ObjectID="_1468075732" r:id="rId17">
            <o:LockedField>false</o:LockedField>
          </o:OLEObject>
        </w:object>
      </w:r>
      <w:r>
        <w:rPr>
          <w:rFonts w:hint="eastAsia" w:ascii="仿宋_GB2312" w:eastAsia="仿宋_GB2312"/>
          <w:sz w:val="32"/>
          <w:szCs w:val="32"/>
        </w:rPr>
        <w:t>项资源利用绿色指标引领值；</w:t>
      </w:r>
    </w:p>
    <w:p>
      <w:pPr>
        <w:pStyle w:val="6"/>
        <w:widowControl w:val="0"/>
        <w:spacing w:line="600" w:lineRule="exact"/>
        <w:ind w:firstLine="632"/>
        <w:rPr>
          <w:rFonts w:ascii="仿宋_GB2312" w:eastAsia="仿宋_GB2312"/>
          <w:sz w:val="32"/>
          <w:szCs w:val="32"/>
        </w:rPr>
      </w:pPr>
      <w:r>
        <w:rPr>
          <w:rFonts w:hint="eastAsia" w:ascii="仿宋_GB2312" w:eastAsia="仿宋_GB2312"/>
          <w:position w:val="-12"/>
          <w:sz w:val="32"/>
          <w:szCs w:val="32"/>
        </w:rPr>
        <w:object>
          <v:shape id="_x0000_i1034" o:spt="75" type="#_x0000_t75" style="height:18.15pt;width:18.8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3" r:id="rId18">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35"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35" DrawAspect="Content" ObjectID="_1468075734" r:id="rId20">
            <o:LockedField>false</o:LockedField>
          </o:OLEObject>
        </w:object>
      </w:r>
      <w:r>
        <w:rPr>
          <w:rFonts w:hint="eastAsia" w:ascii="仿宋_GB2312" w:eastAsia="仿宋_GB2312"/>
          <w:sz w:val="32"/>
          <w:szCs w:val="32"/>
        </w:rPr>
        <w:t>项基础设施绿色化指标值，</w:t>
      </w:r>
      <w:r>
        <w:rPr>
          <w:rFonts w:hint="eastAsia" w:ascii="仿宋_GB2312" w:eastAsia="仿宋_GB2312"/>
          <w:position w:val="-12"/>
          <w:sz w:val="32"/>
          <w:szCs w:val="32"/>
        </w:rPr>
        <w:object>
          <v:shape id="_x0000_i1036" o:spt="75" type="#_x0000_t75" style="height:18.15pt;width:21.3pt;" o:ole="t" filled="f" o:preferrelative="t" stroked="f" coordsize="21600,21600">
            <v:path/>
            <v:fill on="f" focussize="0,0"/>
            <v:stroke on="f" joinstyle="miter"/>
            <v:imagedata r:id="rId22" o:title=""/>
            <o:lock v:ext="edit" aspectratio="t"/>
            <w10:wrap type="none"/>
            <w10:anchorlock/>
          </v:shape>
          <o:OLEObject Type="Embed" ProgID="Equation.DSMT4" ShapeID="_x0000_i1036" DrawAspect="Content" ObjectID="_1468075735" r:id="rId21">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37"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37" DrawAspect="Content" ObjectID="_1468075736" r:id="rId23">
            <o:LockedField>false</o:LockedField>
          </o:OLEObject>
        </w:object>
      </w:r>
      <w:r>
        <w:rPr>
          <w:rFonts w:hint="eastAsia" w:ascii="仿宋_GB2312" w:eastAsia="仿宋_GB2312"/>
          <w:sz w:val="32"/>
          <w:szCs w:val="32"/>
        </w:rPr>
        <w:t>项基础设施绿色指标引领值；</w:t>
      </w:r>
    </w:p>
    <w:p>
      <w:pPr>
        <w:pStyle w:val="6"/>
        <w:widowControl w:val="0"/>
        <w:spacing w:line="600" w:lineRule="exact"/>
        <w:ind w:firstLine="632"/>
        <w:rPr>
          <w:rFonts w:ascii="仿宋_GB2312" w:eastAsia="仿宋_GB2312"/>
          <w:sz w:val="32"/>
          <w:szCs w:val="32"/>
        </w:rPr>
      </w:pPr>
      <w:r>
        <w:rPr>
          <w:rFonts w:hint="eastAsia" w:ascii="仿宋_GB2312" w:eastAsia="仿宋_GB2312"/>
          <w:position w:val="-12"/>
          <w:sz w:val="32"/>
          <w:szCs w:val="32"/>
        </w:rPr>
        <w:object>
          <v:shape id="_x0000_i1038" o:spt="75" type="#_x0000_t75" style="height:18.15pt;width:21.3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7" r:id="rId24">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39"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39" DrawAspect="Content" ObjectID="_1468075738" r:id="rId26">
            <o:LockedField>false</o:LockedField>
          </o:OLEObject>
        </w:object>
      </w:r>
      <w:r>
        <w:rPr>
          <w:rFonts w:hint="eastAsia" w:ascii="仿宋_GB2312" w:eastAsia="仿宋_GB2312"/>
          <w:sz w:val="32"/>
          <w:szCs w:val="32"/>
        </w:rPr>
        <w:t>项产业绿色化指标值，</w:t>
      </w:r>
      <w:r>
        <w:rPr>
          <w:rFonts w:hint="eastAsia" w:ascii="仿宋_GB2312" w:eastAsia="仿宋_GB2312"/>
          <w:position w:val="-12"/>
          <w:sz w:val="32"/>
          <w:szCs w:val="32"/>
        </w:rPr>
        <w:object>
          <v:shape id="_x0000_i1040" o:spt="75" type="#_x0000_t75" style="height:18.15pt;width:24.4pt;" o:ole="t" filled="f" o:preferrelative="t" stroked="f" coordsize="21600,21600">
            <v:path/>
            <v:fill on="f" focussize="0,0"/>
            <v:stroke on="f" joinstyle="miter"/>
            <v:imagedata r:id="rId28" o:title=""/>
            <o:lock v:ext="edit" aspectratio="t"/>
            <w10:wrap type="none"/>
            <w10:anchorlock/>
          </v:shape>
          <o:OLEObject Type="Embed" ProgID="Equation.DSMT4" ShapeID="_x0000_i1040" DrawAspect="Content" ObjectID="_1468075739" r:id="rId27">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41"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41" DrawAspect="Content" ObjectID="_1468075740" r:id="rId29">
            <o:LockedField>false</o:LockedField>
          </o:OLEObject>
        </w:object>
      </w:r>
      <w:r>
        <w:rPr>
          <w:rFonts w:hint="eastAsia" w:ascii="仿宋_GB2312" w:eastAsia="仿宋_GB2312"/>
          <w:sz w:val="32"/>
          <w:szCs w:val="32"/>
        </w:rPr>
        <w:t>项产业绿色指标引领值；</w:t>
      </w:r>
    </w:p>
    <w:p>
      <w:pPr>
        <w:pStyle w:val="6"/>
        <w:widowControl w:val="0"/>
        <w:spacing w:line="600" w:lineRule="exact"/>
        <w:ind w:firstLine="632"/>
        <w:rPr>
          <w:rFonts w:ascii="仿宋_GB2312" w:eastAsia="仿宋_GB2312"/>
          <w:sz w:val="32"/>
          <w:szCs w:val="32"/>
        </w:rPr>
      </w:pPr>
      <w:r>
        <w:rPr>
          <w:rFonts w:hint="eastAsia" w:ascii="仿宋_GB2312" w:eastAsia="仿宋_GB2312"/>
          <w:position w:val="-12"/>
          <w:sz w:val="32"/>
          <w:szCs w:val="32"/>
        </w:rPr>
        <w:object>
          <v:shape id="_x0000_i1042" o:spt="75" type="#_x0000_t75" style="height:18.15pt;width:23.15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41" r:id="rId30">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43"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43" DrawAspect="Content" ObjectID="_1468075742" r:id="rId32">
            <o:LockedField>false</o:LockedField>
          </o:OLEObject>
        </w:object>
      </w:r>
      <w:r>
        <w:rPr>
          <w:rFonts w:hint="eastAsia" w:ascii="仿宋_GB2312" w:eastAsia="仿宋_GB2312"/>
          <w:sz w:val="32"/>
          <w:szCs w:val="32"/>
        </w:rPr>
        <w:t>项生态环境绿色指标值，</w:t>
      </w:r>
      <w:r>
        <w:rPr>
          <w:rFonts w:hint="eastAsia" w:ascii="仿宋_GB2312" w:eastAsia="仿宋_GB2312"/>
          <w:position w:val="-12"/>
          <w:sz w:val="32"/>
          <w:szCs w:val="32"/>
        </w:rPr>
        <w:object>
          <v:shape id="_x0000_i1044" o:spt="75" type="#_x0000_t75" style="height:18.15pt;width:26.9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3" r:id="rId33">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45"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45" DrawAspect="Content" ObjectID="_1468075744" r:id="rId35">
            <o:LockedField>false</o:LockedField>
          </o:OLEObject>
        </w:object>
      </w:r>
      <w:r>
        <w:rPr>
          <w:rFonts w:hint="eastAsia" w:ascii="仿宋_GB2312" w:eastAsia="仿宋_GB2312"/>
          <w:sz w:val="32"/>
          <w:szCs w:val="32"/>
        </w:rPr>
        <w:t>项生态环境绿色指标引领值；</w:t>
      </w:r>
    </w:p>
    <w:p>
      <w:pPr>
        <w:pStyle w:val="6"/>
        <w:widowControl w:val="0"/>
        <w:spacing w:line="600" w:lineRule="exact"/>
        <w:ind w:firstLine="632"/>
        <w:rPr>
          <w:rFonts w:ascii="仿宋_GB2312" w:eastAsia="仿宋_GB2312"/>
          <w:sz w:val="32"/>
          <w:szCs w:val="32"/>
        </w:rPr>
      </w:pPr>
      <w:r>
        <w:rPr>
          <w:rFonts w:hint="eastAsia" w:ascii="仿宋_GB2312" w:eastAsia="仿宋_GB2312"/>
          <w:position w:val="-12"/>
          <w:sz w:val="32"/>
          <w:szCs w:val="32"/>
        </w:rPr>
        <w:object>
          <v:shape id="_x0000_i1046" o:spt="75" type="#_x0000_t75" style="height:18.15pt;width:23.8pt;" o:ole="t" filled="f" o:preferrelative="t" stroked="f" coordsize="21600,21600">
            <v:path/>
            <v:fill on="f" focussize="0,0"/>
            <v:stroke on="f" joinstyle="miter"/>
            <v:imagedata r:id="rId37" o:title=""/>
            <o:lock v:ext="edit" aspectratio="t"/>
            <w10:wrap type="none"/>
            <w10:anchorlock/>
          </v:shape>
          <o:OLEObject Type="Embed" ProgID="Equation.DSMT4" ShapeID="_x0000_i1046" DrawAspect="Content" ObjectID="_1468075745" r:id="rId36">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47"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47" DrawAspect="Content" ObjectID="_1468075746" r:id="rId38">
            <o:LockedField>false</o:LockedField>
          </o:OLEObject>
        </w:object>
      </w:r>
      <w:r>
        <w:rPr>
          <w:rFonts w:hint="eastAsia" w:ascii="仿宋_GB2312" w:eastAsia="仿宋_GB2312"/>
          <w:sz w:val="32"/>
          <w:szCs w:val="32"/>
        </w:rPr>
        <w:t>项运行管理绿色化指标值，</w:t>
      </w:r>
      <w:r>
        <w:rPr>
          <w:rFonts w:hint="eastAsia" w:ascii="仿宋_GB2312" w:eastAsia="仿宋_GB2312"/>
          <w:position w:val="-12"/>
          <w:sz w:val="32"/>
          <w:szCs w:val="32"/>
        </w:rPr>
        <w:object>
          <v:shape id="_x0000_i1048" o:spt="75" type="#_x0000_t75" style="height:18.15pt;width:27.55pt;" o:ole="t" filled="f" o:preferrelative="t" stroked="f" coordsize="21600,21600">
            <v:path/>
            <v:fill on="f" focussize="0,0"/>
            <v:stroke on="f" joinstyle="miter"/>
            <v:imagedata r:id="rId40" o:title=""/>
            <o:lock v:ext="edit" aspectratio="t"/>
            <w10:wrap type="none"/>
            <w10:anchorlock/>
          </v:shape>
          <o:OLEObject Type="Embed" ProgID="Equation.DSMT4" ShapeID="_x0000_i1048" DrawAspect="Content" ObjectID="_1468075747" r:id="rId39">
            <o:LockedField>false</o:LockedField>
          </o:OLEObject>
        </w:object>
      </w:r>
      <w:r>
        <w:rPr>
          <w:rFonts w:hint="eastAsia" w:ascii="仿宋_GB2312" w:eastAsia="仿宋_GB2312"/>
          <w:sz w:val="32"/>
          <w:szCs w:val="32"/>
        </w:rPr>
        <w:t>为第</w:t>
      </w:r>
      <w:r>
        <w:rPr>
          <w:rFonts w:hint="eastAsia" w:ascii="仿宋_GB2312" w:eastAsia="仿宋_GB2312"/>
          <w:position w:val="-6"/>
          <w:sz w:val="32"/>
          <w:szCs w:val="32"/>
        </w:rPr>
        <w:object>
          <v:shape id="_x0000_i1049" o:spt="75" type="#_x0000_t75" style="height:12.5pt;width:6.9pt;" o:ole="t" filled="f" o:preferrelative="t" stroked="f" coordsize="21600,21600">
            <v:path/>
            <v:fill on="f" focussize="0,0"/>
            <v:stroke on="f" joinstyle="miter"/>
            <v:imagedata r:id="rId8" o:title=""/>
            <o:lock v:ext="edit" aspectratio="t"/>
            <w10:wrap type="none"/>
            <w10:anchorlock/>
          </v:shape>
          <o:OLEObject Type="Embed" ProgID="Equation.DSMT4" ShapeID="_x0000_i1049" DrawAspect="Content" ObjectID="_1468075748" r:id="rId41">
            <o:LockedField>false</o:LockedField>
          </o:OLEObject>
        </w:object>
      </w:r>
      <w:r>
        <w:rPr>
          <w:rFonts w:hint="eastAsia" w:ascii="仿宋_GB2312" w:eastAsia="仿宋_GB2312"/>
          <w:sz w:val="32"/>
          <w:szCs w:val="32"/>
        </w:rPr>
        <w:t>项运行管理绿色指标引领值。</w:t>
      </w:r>
    </w:p>
    <w:p>
      <w:pPr>
        <w:pStyle w:val="6"/>
        <w:widowControl w:val="0"/>
        <w:spacing w:line="600" w:lineRule="exact"/>
        <w:ind w:firstLine="472"/>
        <w:rPr>
          <w:rFonts w:ascii="Times New Roman" w:eastAsia="仿宋"/>
          <w:sz w:val="24"/>
          <w:szCs w:val="24"/>
        </w:rPr>
      </w:pPr>
      <w:r>
        <w:rPr>
          <w:rFonts w:ascii="Times New Roman" w:eastAsia="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二、能源利用化绿色指标（3个必选指标）</w:t>
      </w:r>
    </w:p>
    <w:p>
      <w:pPr>
        <w:spacing w:line="600" w:lineRule="exact"/>
        <w:ind w:firstLine="630"/>
        <w:rPr>
          <w:rFonts w:ascii="Times New Roman" w:hAnsi="Times New Roman" w:eastAsia="仿宋_GB2312" w:cs="Times New Roman"/>
          <w:szCs w:val="32"/>
        </w:rPr>
      </w:pPr>
      <w:r>
        <w:rPr>
          <w:rFonts w:ascii="Times New Roman" w:hAnsi="Times New Roman" w:eastAsia="仿宋_GB2312" w:cs="Times New Roman"/>
          <w:szCs w:val="32"/>
        </w:rPr>
        <w:t>能源利用绿色化指标包括能源产出率和可再生能源使用比例、清洁能源使用率3个必选指标。</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（一）能源产出率（必选）</w:t>
      </w:r>
    </w:p>
    <w:p>
      <w:pPr>
        <w:spacing w:line="600" w:lineRule="exact"/>
        <w:ind w:firstLine="63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：指报告期内园区工业增加值与能源消耗总量的比值，该项指标越大，表明能源产出效率越高。能源主要包括原煤、原油、天然气、核电、水电、风电等一次能源。工业增加值采用2010年不变价，下同。</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能源产出率=园区工业增加值（万元不变价）/能源综合消耗总量（tce）。</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（二）可再生能源使用比例（必选）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园区内工业企业的可再生能源使用量与综合能耗总量的比值。可再生能源包括太阳能、水能、生物质能、地热能、氢能、波浪能等非化石能源。</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可再生能源使用比例（%）=工业企业可再生能源使用量（tce）/工业企业综合能耗总量（tce）x100%。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（三）清洁能源使用率（必选）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清洁能源使用率（%）=清洁能源使用量（tce）/终端能源消费总量（tce）×100%。</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三、资源利用绿色化指标（4个必选指标+2个可选指标）</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资源利用绿色化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（一）水资源产出率（必选）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水资源产出率= 园区工业增加值（万元不变价）/园区工业用新鲜水量（m</w:t>
      </w:r>
      <w:r>
        <w:rPr>
          <w:rFonts w:ascii="Times New Roman" w:hAnsi="Times New Roman" w:eastAsia="仿宋" w:cs="Times New Roman"/>
          <w:szCs w:val="32"/>
          <w:vertAlign w:val="superscript"/>
        </w:rPr>
        <w:t>3</w:t>
      </w:r>
      <w:r>
        <w:rPr>
          <w:rFonts w:ascii="Times New Roman" w:hAnsi="Times New Roman" w:eastAsia="仿宋" w:cs="Times New Roman"/>
          <w:szCs w:val="32"/>
        </w:rPr>
        <w:t>）。</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（二）土地资源产出率（必选）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土地产出率=园区工业增加值（万元不变价）/园区工业用地面积（km</w:t>
      </w:r>
      <w:r>
        <w:rPr>
          <w:rFonts w:ascii="Times New Roman" w:hAnsi="Times New Roman" w:eastAsia="仿宋" w:cs="Times New Roman"/>
          <w:szCs w:val="32"/>
          <w:vertAlign w:val="superscript"/>
        </w:rPr>
        <w:t>2</w:t>
      </w:r>
      <w:r>
        <w:rPr>
          <w:rFonts w:ascii="Times New Roman" w:hAnsi="Times New Roman" w:eastAsia="仿宋" w:cs="Times New Roman"/>
          <w:szCs w:val="32"/>
        </w:rPr>
        <w:t>）。</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（三）工业固体废弃物综合利用率（必选）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工业固体废弃物综合利用率=工业固体废弃物综合利用量（t）/（工业固体废弃物产生量+综合利用往年贮存量（t））×100%。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（四）工业用水重复利用率（必选）</w:t>
      </w:r>
    </w:p>
    <w:p>
      <w:pPr>
        <w:spacing w:line="600" w:lineRule="exact"/>
        <w:ind w:firstLine="616" w:firstLineChars="200"/>
        <w:jc w:val="left"/>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：指工业重复用水量占工业用水总量的百分</w:t>
      </w:r>
    </w:p>
    <w:p>
      <w:pPr>
        <w:spacing w:line="600" w:lineRule="exact"/>
        <w:rPr>
          <w:rFonts w:ascii="Times New Roman" w:hAnsi="Times New Roman" w:eastAsia="仿宋" w:cs="Times New Roman"/>
          <w:szCs w:val="32"/>
        </w:rPr>
      </w:pPr>
      <w:r>
        <w:rPr>
          <w:rFonts w:ascii="Times New Roman" w:hAnsi="Times New Roman" w:eastAsia="仿宋" w:cs="Times New Roman"/>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工业用水重复利用率=工业重复用水量（m</w:t>
      </w:r>
      <w:r>
        <w:rPr>
          <w:rFonts w:ascii="Times New Roman" w:hAnsi="Times New Roman" w:eastAsia="仿宋" w:cs="Times New Roman"/>
          <w:szCs w:val="32"/>
          <w:vertAlign w:val="superscript"/>
        </w:rPr>
        <w:t>3</w:t>
      </w:r>
      <w:r>
        <w:rPr>
          <w:rFonts w:ascii="Times New Roman" w:hAnsi="Times New Roman" w:eastAsia="仿宋" w:cs="Times New Roman"/>
          <w:szCs w:val="32"/>
        </w:rPr>
        <w:t>）/工业用水总量（m</w:t>
      </w:r>
      <w:r>
        <w:rPr>
          <w:rFonts w:ascii="Times New Roman" w:hAnsi="Times New Roman" w:eastAsia="仿宋" w:cs="Times New Roman"/>
          <w:szCs w:val="32"/>
          <w:vertAlign w:val="superscript"/>
        </w:rPr>
        <w:t>3</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（五）中水回用率（可选）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指园区内再生水的回用量与污水处理厂处理量的比值。其中，再生水（中水）是指二级达标水经再生工艺净化处理后，达到中水水质指标要求，满足某种使用要求的水。</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：中水回用率（%）=园区再生水（中水）回用量（万吨）/园区污水处理厂处理量（万吨）×100%。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（六）余热资源回收利用率（可选）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：余热资源回收利用率（%）=回收利用的余热资源量（kJ）/园区总余热资源量（kJ）×100%。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（七）废气资源回收利用率（可选）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废气资源回收利用率（%）=回收利用的废气资源量（万m</w:t>
      </w:r>
      <w:r>
        <w:rPr>
          <w:rFonts w:ascii="Times New Roman" w:hAnsi="Times New Roman" w:eastAsia="仿宋" w:cs="Times New Roman"/>
          <w:szCs w:val="32"/>
          <w:vertAlign w:val="superscript"/>
        </w:rPr>
        <w:t>3</w:t>
      </w:r>
      <w:r>
        <w:rPr>
          <w:rFonts w:ascii="Times New Roman" w:hAnsi="Times New Roman" w:eastAsia="仿宋" w:cs="Times New Roman"/>
          <w:szCs w:val="32"/>
        </w:rPr>
        <w:t>）/园区可回收利用总废气资源量（万m</w:t>
      </w:r>
      <w:r>
        <w:rPr>
          <w:rFonts w:ascii="Times New Roman" w:hAnsi="Times New Roman" w:eastAsia="仿宋" w:cs="Times New Roman"/>
          <w:szCs w:val="32"/>
          <w:vertAlign w:val="superscript"/>
        </w:rPr>
        <w:t>3</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（八）再生资源回收利用率（可选）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再生资源回收利用率（%）=再生资源循环利用量（万吨）/再生资源收集量（万吨）×100%。</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四、基础设施绿色化指标（1个必选指标+2个可选指标）</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基础设施绿色化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（一）污水集中处理设施（必选）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园区内所有工业废水经预处理达到集中处理要求后进入安装有自动在线监控装置的污水集中处理设施（园区内或园区外）。</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（二）新建工业建筑中绿色建筑的比例（可选）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园区新建工业建筑中的绿色建筑是按照GB/T 50878-2013《绿色工业建筑评价标准》评价，获得二星及以上评级的工业建筑。</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新建工业建筑中绿色建筑的比例（%）=新建工业建筑中绿色建筑的面积（m</w:t>
      </w:r>
      <w:r>
        <w:rPr>
          <w:rFonts w:ascii="Times New Roman" w:hAnsi="Times New Roman" w:eastAsia="仿宋" w:cs="Times New Roman"/>
          <w:szCs w:val="32"/>
          <w:vertAlign w:val="superscript"/>
        </w:rPr>
        <w:t>2</w:t>
      </w:r>
      <w:r>
        <w:rPr>
          <w:rFonts w:ascii="Times New Roman" w:hAnsi="Times New Roman" w:eastAsia="仿宋" w:cs="Times New Roman"/>
          <w:szCs w:val="32"/>
        </w:rPr>
        <w:t>）/园区新建工业建筑面积</w:t>
      </w:r>
    </w:p>
    <w:p>
      <w:pPr>
        <w:spacing w:line="600" w:lineRule="exact"/>
        <w:rPr>
          <w:rFonts w:ascii="Times New Roman" w:hAnsi="Times New Roman" w:eastAsia="仿宋" w:cs="Times New Roman"/>
          <w:szCs w:val="32"/>
        </w:rPr>
      </w:pPr>
      <w:r>
        <w:rPr>
          <w:rFonts w:ascii="Times New Roman" w:hAnsi="Times New Roman" w:eastAsia="仿宋" w:cs="Times New Roman"/>
          <w:szCs w:val="32"/>
        </w:rPr>
        <w:t>（m</w:t>
      </w:r>
      <w:r>
        <w:rPr>
          <w:rFonts w:ascii="Times New Roman" w:hAnsi="Times New Roman" w:eastAsia="仿宋" w:cs="Times New Roman"/>
          <w:szCs w:val="32"/>
          <w:vertAlign w:val="superscript"/>
        </w:rPr>
        <w:t>2</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（三）新建公共建筑中绿色建筑的比例（可选）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园区新建公共建筑中的绿色建筑是按照GB/T 50378-2014《绿色建筑评价标准》评价，获得二星及以上评级的公共建筑。</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：新建公共建筑中绿色建筑的比例（%）=新建公共建筑中绿色建筑的面积（m</w:t>
      </w:r>
      <w:r>
        <w:rPr>
          <w:rFonts w:ascii="Times New Roman" w:hAnsi="Times New Roman" w:eastAsia="仿宋" w:cs="Times New Roman"/>
          <w:szCs w:val="32"/>
          <w:vertAlign w:val="superscript"/>
        </w:rPr>
        <w:t>2</w:t>
      </w:r>
      <w:r>
        <w:rPr>
          <w:rFonts w:ascii="Times New Roman" w:hAnsi="Times New Roman" w:eastAsia="仿宋" w:cs="Times New Roman"/>
          <w:szCs w:val="32"/>
        </w:rPr>
        <w:t>）/园区新建公共建筑面积（m</w:t>
      </w:r>
      <w:r>
        <w:rPr>
          <w:rFonts w:ascii="Times New Roman" w:hAnsi="Times New Roman" w:eastAsia="仿宋" w:cs="Times New Roman"/>
          <w:szCs w:val="32"/>
          <w:vertAlign w:val="superscript"/>
        </w:rPr>
        <w:t>2</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（四）500米公交站点覆盖率（可选）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园区公共交通车站服务覆盖面积的总和占园区建成区面积的百分比。</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具体根据GB 50220计算。</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（五）节能与新能源公交车比例（可选）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节能与新能源公交车比例（%）=节能与新能源公交车数量（辆）/园区公交车总量（辆）×100%。</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五、产业绿色化指标（2个必选指标+1个可选指标）</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产业绿色化指标包括高新技术产业产值占园区工业总产值比例、绿色产业增加值占园区工业增加值比例2个必选指标，以及从人均工业增加值和现代服务业比例两个可选指标中选取1个指标。</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（一）绿色产业增加值占园区工业增加值比例（必选）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园区内绿色产业的增加值与园区工业增加值的比值。其中，绿色产业增加值是依据国家统计局《战略性新兴产业分类》中关于节能环保产业和新能源产业的具体分类统计得到。</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绿色产业增加值占园区工业增加值比例（%）=绿色产业增加值（万元）/园区工业增加值（万元）×100%。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（二）高新技术产业产值占园区工业总产值比例（必选）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园区内高新技术企业的工业总产值占园区工业总产值的比值。其中，高新技术企业是指依据《高新技术企业认定管理办法》认定的工业范畴的高新技术企业。</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高新技术产业产值占园区工业总产值比例</w:t>
      </w:r>
    </w:p>
    <w:p>
      <w:pPr>
        <w:spacing w:line="600" w:lineRule="exact"/>
        <w:rPr>
          <w:rFonts w:ascii="Times New Roman" w:hAnsi="Times New Roman" w:eastAsia="仿宋" w:cs="Times New Roman"/>
          <w:szCs w:val="32"/>
        </w:rPr>
      </w:pPr>
      <w:r>
        <w:rPr>
          <w:rFonts w:ascii="Times New Roman" w:hAnsi="Times New Roman" w:eastAsia="仿宋" w:cs="Times New Roman"/>
          <w:szCs w:val="32"/>
        </w:rPr>
        <w:t>（%）=高新技术企业的工业产值之和（万元）/工业园区工业总产值（万元）×100%。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（三）人均工业增加值（可选）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园区工业增加值与园区内工业企业从业人数的比值。</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人均工业增加值（万元/人）=园区工业增加值（万元）/园区年末工业企业从业人数（人）。</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（四）现代服务业比例（可选）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现代服务业比例（%）=现代服务业增加值（万元）/园区GDP×100%。</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六、生态环境绿色化指标（5个必选指标+1个可选指标）</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生态环境绿色化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（一）工业固体废弃物（含危废）处置利用率（必选）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园区范围内各工业企业安全处置、综合利用及安全贮存的工业固体废物量（含危险废物）之和与当年工业固体废物总产生量的比值。</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工业固体废弃物（含危废）处置利用率（%）=园区当年工业固体废物处置利用量（含危险废物）（t）/园区当年工业固体废物总产生量（t）×100%。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（二）万元工业增加值碳排放量消减率（必选）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园区内工业企业产生单位工业增加值所排放的二氧化碳当量的创建期年均消减率。创建期是指绿色工业园区创建周期。</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万元工业增加值碳排放量消减率（%）=[1-（验收年单位工业增加值二氧化碳排放量（tCO</w:t>
      </w:r>
      <w:r>
        <w:rPr>
          <w:rFonts w:ascii="Times New Roman" w:hAnsi="Times New Roman" w:eastAsia="仿宋" w:cs="Times New Roman"/>
          <w:szCs w:val="32"/>
          <w:vertAlign w:val="subscript"/>
        </w:rPr>
        <w:t>2-eq</w:t>
      </w:r>
      <w:r>
        <w:rPr>
          <w:rFonts w:ascii="Times New Roman" w:hAnsi="Times New Roman" w:eastAsia="仿宋" w:cs="Times New Roman"/>
          <w:szCs w:val="32"/>
        </w:rPr>
        <w:t>/万元）/创建基准年单位工业增加值二氧化碳排放量（tCO</w:t>
      </w:r>
      <w:r>
        <w:rPr>
          <w:rFonts w:ascii="Times New Roman" w:hAnsi="Times New Roman" w:eastAsia="仿宋" w:cs="Times New Roman"/>
          <w:szCs w:val="32"/>
          <w:vertAlign w:val="subscript"/>
        </w:rPr>
        <w:t>2-eq</w:t>
      </w:r>
      <w:r>
        <w:rPr>
          <w:rFonts w:ascii="Times New Roman" w:hAnsi="Times New Roman" w:eastAsia="仿宋" w:cs="Times New Roman"/>
          <w:szCs w:val="32"/>
        </w:rPr>
        <w:t>/万元））</w:t>
      </w:r>
      <w:r>
        <w:rPr>
          <w:rFonts w:ascii="Times New Roman" w:hAnsi="Times New Roman" w:eastAsia="仿宋" w:cs="Times New Roman"/>
          <w:szCs w:val="32"/>
          <w:vertAlign w:val="superscript"/>
        </w:rPr>
        <w:t>1/创建周期</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（三）单位工业增加值废水排放量（必选）</w:t>
      </w:r>
    </w:p>
    <w:p>
      <w:pPr>
        <w:spacing w:line="60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指园区单位工业增加值排放的工业废水量，不包括企业梯级利用的废水和园区内居民排放的生活废水。</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：单位工业增加值废水排放量（t/万元）=园区工业废水排放总量（t）/园区工业增加值总量（万元）。</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（四）主要污染物弹性系数（必选）</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：指园区内工业企业排放的各类主要污染物排放弹性系数的算术平均值。其中，主要污染物指从创建基准年到验收年，国家政策明确要求总量减排和控制的污染物，包括COD、SO</w:t>
      </w:r>
      <w:r>
        <w:rPr>
          <w:rFonts w:ascii="Times New Roman" w:hAnsi="Times New Roman" w:eastAsia="仿宋" w:cs="Times New Roman"/>
          <w:szCs w:val="32"/>
          <w:vertAlign w:val="subscript"/>
        </w:rPr>
        <w:t>2</w:t>
      </w:r>
      <w:r>
        <w:rPr>
          <w:rFonts w:ascii="Times New Roman" w:hAnsi="Times New Roman" w:eastAsia="仿宋" w:cs="Times New Roman"/>
          <w:szCs w:val="32"/>
        </w:rPr>
        <w:t>、氨氮、NO</w:t>
      </w:r>
      <w:r>
        <w:rPr>
          <w:rFonts w:ascii="Times New Roman" w:hAnsi="Times New Roman" w:eastAsia="仿宋" w:cs="Times New Roman"/>
          <w:szCs w:val="32"/>
          <w:vertAlign w:val="subscript"/>
        </w:rPr>
        <w:t>X</w:t>
      </w:r>
      <w:r>
        <w:rPr>
          <w:rFonts w:ascii="Times New Roman" w:hAnsi="Times New Roman" w:eastAsia="仿宋" w:cs="Times New Roman"/>
          <w:szCs w:val="32"/>
        </w:rPr>
        <w:t>等。某种主要污染物排放弹性系数，指园区内工业企业排放的某一种主要污染物排放总量的三年年均增长率与工业增加值三年年均增长率的比值。</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：某种污染物排放弹性系数=某种污染物排放量创建周期年均增长率（%）/园区工业增加值创建周期年均增长率（%）；主要污染物排放弹性系数=主要污染物排放弹性系数之和/污染物个数。</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（五）园区空气质量优良率（必选）</w:t>
      </w:r>
    </w:p>
    <w:p>
      <w:pPr>
        <w:spacing w:line="56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指空气质量优良天数占全年天数的比例。空气质量优良等级按照GB 3085《环境空气质量标准》确定。</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（六）绿化覆盖率（可选）</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园区内各类绿地总面积与园区规划范围内用地总面积的比值。</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绿色覆盖率（%）=园区内各类绿地总面积（m</w:t>
      </w:r>
      <w:r>
        <w:rPr>
          <w:rFonts w:ascii="Times New Roman" w:hAnsi="Times New Roman" w:eastAsia="仿宋" w:cs="Times New Roman"/>
          <w:szCs w:val="32"/>
          <w:vertAlign w:val="superscript"/>
        </w:rPr>
        <w:t>2</w:t>
      </w:r>
      <w:r>
        <w:rPr>
          <w:rFonts w:ascii="Times New Roman" w:hAnsi="Times New Roman" w:eastAsia="仿宋" w:cs="Times New Roman"/>
          <w:szCs w:val="32"/>
        </w:rPr>
        <w:t>）/园区用地总面积（m</w:t>
      </w:r>
      <w:r>
        <w:rPr>
          <w:rFonts w:ascii="Times New Roman" w:hAnsi="Times New Roman" w:eastAsia="仿宋" w:cs="Times New Roman"/>
          <w:szCs w:val="32"/>
          <w:vertAlign w:val="superscript"/>
        </w:rPr>
        <w:t>2</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（七）道路遮荫比例（可选）</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指道路两旁树冠垂直投影遮蔽的总阴影面积与步行道路总面积的比值。</w:t>
      </w:r>
    </w:p>
    <w:p>
      <w:pPr>
        <w:spacing w:line="56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道路遮荫比例（%）=道路两旁树冠垂直投影遮蔽的总阴影面积（m</w:t>
      </w:r>
      <w:r>
        <w:rPr>
          <w:rFonts w:ascii="Times New Roman" w:hAnsi="Times New Roman" w:eastAsia="仿宋" w:cs="Times New Roman"/>
          <w:szCs w:val="32"/>
          <w:vertAlign w:val="superscript"/>
        </w:rPr>
        <w:t>2</w:t>
      </w:r>
      <w:r>
        <w:rPr>
          <w:rFonts w:ascii="Times New Roman" w:hAnsi="Times New Roman" w:eastAsia="仿宋" w:cs="Times New Roman"/>
          <w:szCs w:val="32"/>
        </w:rPr>
        <w:t>）/步行道路总面积（m</w:t>
      </w:r>
      <w:r>
        <w:rPr>
          <w:rFonts w:ascii="Times New Roman" w:hAnsi="Times New Roman" w:eastAsia="仿宋" w:cs="Times New Roman"/>
          <w:szCs w:val="32"/>
          <w:vertAlign w:val="superscript"/>
        </w:rPr>
        <w:t>2</w:t>
      </w:r>
      <w:r>
        <w:rPr>
          <w:rFonts w:ascii="Times New Roman" w:hAnsi="Times New Roman" w:eastAsia="仿宋" w:cs="Times New Roman"/>
          <w:szCs w:val="32"/>
        </w:rPr>
        <w:t>）×100%。</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（八）露天停车场遮荫比例（可选）</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指标要求：</w:t>
      </w:r>
      <w:r>
        <w:rPr>
          <w:rFonts w:ascii="Times New Roman" w:hAnsi="Times New Roman" w:eastAsia="仿宋" w:cs="Times New Roman"/>
          <w:szCs w:val="32"/>
        </w:rPr>
        <w:t>露天停车场遮阴比例应达到80%。</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指露天停车场树冠垂直投影遮蔽的总阴影面积与露天停车场总面积的比值。</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bCs/>
          <w:szCs w:val="32"/>
        </w:rPr>
        <w:t>计算公式：</w:t>
      </w:r>
      <w:r>
        <w:rPr>
          <w:rFonts w:ascii="Times New Roman" w:hAnsi="Times New Roman" w:eastAsia="仿宋" w:cs="Times New Roman"/>
          <w:szCs w:val="32"/>
        </w:rPr>
        <w:t>露天停车场遮荫比例（%）=露天停车场树冠垂直投影遮蔽的总阴影面积（m</w:t>
      </w:r>
      <w:r>
        <w:rPr>
          <w:rFonts w:ascii="Times New Roman" w:hAnsi="Times New Roman" w:eastAsia="仿宋" w:cs="Times New Roman"/>
          <w:szCs w:val="32"/>
          <w:vertAlign w:val="superscript"/>
        </w:rPr>
        <w:t>2</w:t>
      </w:r>
      <w:r>
        <w:rPr>
          <w:rFonts w:ascii="Times New Roman" w:hAnsi="Times New Roman" w:eastAsia="仿宋" w:cs="Times New Roman"/>
          <w:szCs w:val="32"/>
        </w:rPr>
        <w:t>）/露天停车场总面积（m</w:t>
      </w:r>
      <w:r>
        <w:rPr>
          <w:rFonts w:ascii="Times New Roman" w:hAnsi="Times New Roman" w:eastAsia="仿宋" w:cs="Times New Roman"/>
          <w:szCs w:val="32"/>
          <w:vertAlign w:val="superscript"/>
        </w:rPr>
        <w:t>2</w:t>
      </w:r>
      <w:r>
        <w:rPr>
          <w:rFonts w:ascii="Times New Roman" w:hAnsi="Times New Roman" w:eastAsia="仿宋" w:cs="Times New Roman"/>
          <w:szCs w:val="32"/>
        </w:rPr>
        <w:t>）</w:t>
      </w:r>
      <w:r>
        <w:rPr>
          <w:rFonts w:ascii="Times New Roman" w:hAnsi="Times New Roman" w:eastAsia="仿宋" w:cs="Times New Roman"/>
          <w:color w:val="333333"/>
          <w:szCs w:val="32"/>
          <w:shd w:val="clear" w:color="auto" w:fill="FFFFFF"/>
        </w:rPr>
        <w:t>×</w:t>
      </w:r>
      <w:r>
        <w:rPr>
          <w:rFonts w:ascii="Times New Roman" w:hAnsi="Times New Roman" w:eastAsia="仿宋" w:cs="Times New Roman"/>
          <w:szCs w:val="32"/>
        </w:rPr>
        <w:t>100%。</w:t>
      </w:r>
    </w:p>
    <w:p>
      <w:pPr>
        <w:spacing w:line="56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七、运行管理绿色化指标（3个必选指标）</w:t>
      </w:r>
    </w:p>
    <w:p>
      <w:pPr>
        <w:spacing w:line="56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运行管理绿色化指标包括绿色工业园区标准体系完善程度、编制绿色工业园区发展规划、绿色工业园区信息平台完善程度3个必选指标。</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（一）绿色工业园区标准体系完善程度（必选）</w:t>
      </w:r>
    </w:p>
    <w:p>
      <w:pPr>
        <w:spacing w:line="56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主要考核是否建立与其产业链和主导产业相适应的绿色工业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（二）编制绿色工业园区发展规划（必选）</w:t>
      </w:r>
    </w:p>
    <w:p>
      <w:pPr>
        <w:spacing w:line="560" w:lineRule="exact"/>
        <w:ind w:firstLine="616" w:firstLineChars="200"/>
        <w:rPr>
          <w:rFonts w:ascii="Times New Roman" w:hAnsi="Times New Roman" w:eastAsia="仿宋_GB2312" w:cs="Times New Roman"/>
          <w:szCs w:val="32"/>
        </w:rPr>
      </w:pPr>
      <w:r>
        <w:rPr>
          <w:rFonts w:ascii="Times New Roman" w:hAnsi="Times New Roman" w:eastAsia="仿宋" w:cs="Times New Roman"/>
          <w:bCs/>
          <w:szCs w:val="32"/>
        </w:rPr>
        <w:t>指标解释：</w:t>
      </w:r>
      <w:r>
        <w:rPr>
          <w:rFonts w:ascii="Times New Roman" w:hAnsi="Times New Roman" w:eastAsia="仿宋" w:cs="Times New Roman"/>
          <w:szCs w:val="32"/>
        </w:rPr>
        <w:t>按照本实施方案的创建内容编制绿色工业园区发展规划，原则上每五年编制一次。</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（三）绿色工业园区信息平台完善程度（必选）</w:t>
      </w:r>
    </w:p>
    <w:p>
      <w:pPr>
        <w:spacing w:line="560" w:lineRule="exact"/>
        <w:ind w:firstLine="616" w:firstLineChars="200"/>
        <w:rPr>
          <w:rFonts w:ascii="Times New Roman" w:hAnsi="Times New Roman" w:eastAsia="仿宋" w:cs="Times New Roman"/>
        </w:rPr>
      </w:pPr>
      <w:r>
        <w:rPr>
          <w:rFonts w:ascii="Times New Roman" w:hAnsi="Times New Roman" w:eastAsia="仿宋" w:cs="Times New Roman"/>
          <w:bCs/>
          <w:szCs w:val="32"/>
        </w:rPr>
        <w:t>指标解释：</w:t>
      </w:r>
      <w:r>
        <w:rPr>
          <w:rFonts w:ascii="Times New Roman" w:hAnsi="Times New Roman" w:eastAsia="仿宋" w:cs="Times New Roman"/>
          <w:szCs w:val="32"/>
        </w:rPr>
        <w:t>主要考核是否创建局域网；是否定期在园区管委会网站、局域网或相关网站上发布绿色工业园区建设和改造信息；是否在园区局域网上有园区主导行业清洁生产技术信息（主要包括原材料选择、节水、节能、环保等方面）、废物资源化技术信息、绿色建筑技术信息、绿色交通技术信息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F68E3"/>
    <w:rsid w:val="10BF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5">
    <w:name w:val="列出段落1"/>
    <w:basedOn w:val="1"/>
    <w:qFormat/>
    <w:uiPriority w:val="34"/>
    <w:pPr>
      <w:suppressAutoHyphens/>
      <w:ind w:firstLine="420" w:firstLineChars="200"/>
    </w:pPr>
    <w:rPr>
      <w:rFonts w:ascii="Calibri" w:hAnsi="Calibri" w:eastAsia="宋体" w:cs="Times New Roman"/>
      <w:sz w:val="21"/>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oleObject" Target="embeddings/oleObject24.bin"/><Relationship Id="rId40" Type="http://schemas.openxmlformats.org/officeDocument/2006/relationships/image" Target="media/image14.wmf"/><Relationship Id="rId4" Type="http://schemas.openxmlformats.org/officeDocument/2006/relationships/image" Target="media/image1.png"/><Relationship Id="rId39" Type="http://schemas.openxmlformats.org/officeDocument/2006/relationships/oleObject" Target="embeddings/oleObject23.bin"/><Relationship Id="rId38" Type="http://schemas.openxmlformats.org/officeDocument/2006/relationships/oleObject" Target="embeddings/oleObject22.bin"/><Relationship Id="rId37" Type="http://schemas.openxmlformats.org/officeDocument/2006/relationships/image" Target="media/image13.wmf"/><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image" Target="media/image12.wmf"/><Relationship Id="rId33" Type="http://schemas.openxmlformats.org/officeDocument/2006/relationships/oleObject" Target="embeddings/oleObject19.bin"/><Relationship Id="rId32" Type="http://schemas.openxmlformats.org/officeDocument/2006/relationships/oleObject" Target="embeddings/oleObject18.bin"/><Relationship Id="rId31" Type="http://schemas.openxmlformats.org/officeDocument/2006/relationships/image" Target="media/image11.wmf"/><Relationship Id="rId30" Type="http://schemas.openxmlformats.org/officeDocument/2006/relationships/oleObject" Target="embeddings/oleObject17.bin"/><Relationship Id="rId3" Type="http://schemas.openxmlformats.org/officeDocument/2006/relationships/theme" Target="theme/theme1.xml"/><Relationship Id="rId29" Type="http://schemas.openxmlformats.org/officeDocument/2006/relationships/oleObject" Target="embeddings/oleObject16.bin"/><Relationship Id="rId28" Type="http://schemas.openxmlformats.org/officeDocument/2006/relationships/image" Target="media/image10.wmf"/><Relationship Id="rId27" Type="http://schemas.openxmlformats.org/officeDocument/2006/relationships/oleObject" Target="embeddings/oleObject15.bin"/><Relationship Id="rId26" Type="http://schemas.openxmlformats.org/officeDocument/2006/relationships/oleObject" Target="embeddings/oleObject14.bin"/><Relationship Id="rId25" Type="http://schemas.openxmlformats.org/officeDocument/2006/relationships/image" Target="media/image9.wmf"/><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image" Target="media/image8.wmf"/><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2024-06-19T01:50:00Z</dcterms:created>
  <dc:creator>Administrator</dc:creator>
  <cp:lastModifiedBy>Administrator</cp:lastModifiedBy>
  <dcterms:modified xsi:type="dcterms:W3CDTF">2024-06-19T01:50:30Z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